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9B6" w:rsidRPr="005019B6" w:rsidRDefault="006E2FC9" w:rsidP="005019B6">
      <w:pPr>
        <w:autoSpaceDE w:val="0"/>
        <w:autoSpaceDN w:val="0"/>
        <w:adjustRightInd w:val="0"/>
        <w:spacing w:after="0" w:line="240" w:lineRule="auto"/>
        <w:jc w:val="center"/>
        <w:rPr>
          <w:rFonts w:ascii="MS Shell Dlg 2" w:hAnsi="MS Shell Dlg 2" w:cs="MS Shell Dlg 2"/>
          <w:sz w:val="40"/>
          <w:szCs w:val="40"/>
          <w:u w:val="single"/>
        </w:rPr>
      </w:pPr>
      <w:r w:rsidRPr="00C163E6">
        <w:rPr>
          <w:rFonts w:ascii="MS Shell Dlg 2" w:hAnsi="MS Shell Dlg 2" w:cs="MS Shell Dlg 2"/>
          <w:noProof/>
          <w:sz w:val="40"/>
          <w:szCs w:val="40"/>
          <w:u w:val="single"/>
        </w:rPr>
        <w:drawing>
          <wp:anchor distT="0" distB="0" distL="114300" distR="114300" simplePos="0" relativeHeight="251658240" behindDoc="0" locked="0" layoutInCell="1" allowOverlap="1" wp14:anchorId="771D5EE7" wp14:editId="3CCEB1C3">
            <wp:simplePos x="2181225" y="895350"/>
            <wp:positionH relativeFrom="margin">
              <wp:align>left</wp:align>
            </wp:positionH>
            <wp:positionV relativeFrom="margin">
              <wp:align>top</wp:align>
            </wp:positionV>
            <wp:extent cx="304800" cy="3048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pic:spPr>
                </pic:pic>
              </a:graphicData>
            </a:graphic>
          </wp:anchor>
        </w:drawing>
      </w:r>
      <w:r w:rsidR="00514F5E">
        <w:rPr>
          <w:rFonts w:ascii="MS Shell Dlg 2" w:hAnsi="MS Shell Dlg 2" w:cs="MS Shell Dlg 2"/>
          <w:sz w:val="40"/>
          <w:szCs w:val="40"/>
          <w:u w:val="single"/>
        </w:rPr>
        <w:t>Abattement de 50% pour les pieux de grande longueur de certains types</w:t>
      </w:r>
    </w:p>
    <w:p w:rsidR="00684433" w:rsidRPr="005019B6" w:rsidRDefault="00684433" w:rsidP="00BA2BBB">
      <w:pPr>
        <w:autoSpaceDE w:val="0"/>
        <w:autoSpaceDN w:val="0"/>
        <w:adjustRightInd w:val="0"/>
        <w:spacing w:line="240" w:lineRule="auto"/>
        <w:jc w:val="center"/>
        <w:rPr>
          <w:b/>
          <w:sz w:val="52"/>
          <w:szCs w:val="52"/>
          <w:u w:val="single"/>
        </w:rPr>
      </w:pPr>
    </w:p>
    <w:p w:rsidR="00D7782D" w:rsidRDefault="00D7782D" w:rsidP="00E341E3">
      <w:pPr>
        <w:spacing w:line="240" w:lineRule="auto"/>
      </w:pPr>
      <w:r w:rsidRPr="00D7782D">
        <w:rPr>
          <w:u w:val="single"/>
        </w:rPr>
        <w:t>Version logicielle :</w:t>
      </w:r>
      <w:r w:rsidR="00BA2BBB">
        <w:t xml:space="preserve">    </w:t>
      </w:r>
      <w:proofErr w:type="spellStart"/>
      <w:proofErr w:type="gramStart"/>
      <w:r w:rsidR="00C163E6">
        <w:t>MecaSol</w:t>
      </w:r>
      <w:proofErr w:type="spellEnd"/>
      <w:r w:rsidR="00C91564">
        <w:t xml:space="preserve">  version</w:t>
      </w:r>
      <w:proofErr w:type="gramEnd"/>
      <w:r w:rsidR="00C91564">
        <w:t xml:space="preserve">  </w:t>
      </w:r>
      <w:r w:rsidR="00C163E6">
        <w:t>1</w:t>
      </w:r>
      <w:r w:rsidR="00C91564">
        <w:t>.0</w:t>
      </w:r>
    </w:p>
    <w:p w:rsidR="00D7782D" w:rsidRPr="00D7782D" w:rsidRDefault="00D7782D" w:rsidP="00E341E3">
      <w:pPr>
        <w:spacing w:line="240" w:lineRule="auto"/>
        <w:rPr>
          <w:u w:val="single"/>
        </w:rPr>
      </w:pPr>
      <w:r w:rsidRPr="00D7782D">
        <w:rPr>
          <w:u w:val="single"/>
        </w:rPr>
        <w:t>Commentaire :</w:t>
      </w:r>
    </w:p>
    <w:p w:rsidR="00514F5E" w:rsidRDefault="00514F5E" w:rsidP="00514F5E">
      <w:r>
        <w:t>S’applique uniquement à la résistance de frottement axial.</w:t>
      </w:r>
    </w:p>
    <w:p w:rsidR="00400B4D" w:rsidRDefault="00400B4D" w:rsidP="00400B4D">
      <w:r>
        <w:t xml:space="preserve">Essais pressiométriques -  </w:t>
      </w:r>
      <w:r>
        <w:t>Extrait de l’article F.5.2(6) de la NF P94-262 :</w:t>
      </w:r>
    </w:p>
    <w:p w:rsidR="00400B4D" w:rsidRDefault="00400B4D" w:rsidP="00400B4D">
      <w:r>
        <w:rPr>
          <w:noProof/>
        </w:rPr>
        <w:drawing>
          <wp:inline distT="0" distB="0" distL="0" distR="0" wp14:anchorId="00DF050E" wp14:editId="06D18A3C">
            <wp:extent cx="6514085" cy="552893"/>
            <wp:effectExtent l="0" t="0" r="127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Abbatement50%Pressio.png"/>
                    <pic:cNvPicPr/>
                  </pic:nvPicPr>
                  <pic:blipFill>
                    <a:blip r:embed="rId6">
                      <a:extLst>
                        <a:ext uri="{28A0092B-C50C-407E-A947-70E740481C1C}">
                          <a14:useLocalDpi xmlns:a14="http://schemas.microsoft.com/office/drawing/2010/main" val="0"/>
                        </a:ext>
                      </a:extLst>
                    </a:blip>
                    <a:stretch>
                      <a:fillRect/>
                    </a:stretch>
                  </pic:blipFill>
                  <pic:spPr>
                    <a:xfrm>
                      <a:off x="0" y="0"/>
                      <a:ext cx="6677029" cy="566723"/>
                    </a:xfrm>
                    <a:prstGeom prst="rect">
                      <a:avLst/>
                    </a:prstGeom>
                  </pic:spPr>
                </pic:pic>
              </a:graphicData>
            </a:graphic>
          </wp:inline>
        </w:drawing>
      </w:r>
    </w:p>
    <w:p w:rsidR="00514F5E" w:rsidRDefault="00400B4D" w:rsidP="00514F5E">
      <w:r>
        <w:t>Essais pénétr</w:t>
      </w:r>
      <w:r>
        <w:t xml:space="preserve">ométriques -  </w:t>
      </w:r>
      <w:r w:rsidR="00514F5E">
        <w:t xml:space="preserve">Extrait de l’article </w:t>
      </w:r>
      <w:r w:rsidR="00887AE2">
        <w:t>G</w:t>
      </w:r>
      <w:r w:rsidR="00514F5E">
        <w:t>.5.2(6) de la NF P94-262 :</w:t>
      </w:r>
    </w:p>
    <w:p w:rsidR="00514F5E" w:rsidRDefault="00514F5E" w:rsidP="00514F5E">
      <w:r>
        <w:rPr>
          <w:noProof/>
        </w:rPr>
        <w:drawing>
          <wp:inline distT="0" distB="0" distL="0" distR="0" wp14:anchorId="414B4961" wp14:editId="004AE0F7">
            <wp:extent cx="6481194" cy="491552"/>
            <wp:effectExtent l="0" t="0" r="0" b="3810"/>
            <wp:docPr id="99" name="Imag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Abbatement50%Pressio.png"/>
                    <pic:cNvPicPr/>
                  </pic:nvPicPr>
                  <pic:blipFill>
                    <a:blip r:embed="rId7">
                      <a:extLst>
                        <a:ext uri="{28A0092B-C50C-407E-A947-70E740481C1C}">
                          <a14:useLocalDpi xmlns:a14="http://schemas.microsoft.com/office/drawing/2010/main" val="0"/>
                        </a:ext>
                      </a:extLst>
                    </a:blip>
                    <a:stretch>
                      <a:fillRect/>
                    </a:stretch>
                  </pic:blipFill>
                  <pic:spPr>
                    <a:xfrm>
                      <a:off x="0" y="0"/>
                      <a:ext cx="6545585" cy="496436"/>
                    </a:xfrm>
                    <a:prstGeom prst="rect">
                      <a:avLst/>
                    </a:prstGeom>
                  </pic:spPr>
                </pic:pic>
              </a:graphicData>
            </a:graphic>
          </wp:inline>
        </w:drawing>
      </w:r>
    </w:p>
    <w:p w:rsidR="00FA423B" w:rsidRDefault="00514F5E" w:rsidP="00FA423B">
      <w:r>
        <w:t>Cela concerne les pieux de catégories 1, 2 et 5 soit Foré Simple (FS), Foré Boue (FB) et Foré Simple ou Boue avec rainurage ou Puits (FSR, FBR et PU).</w:t>
      </w:r>
    </w:p>
    <w:p w:rsidR="00400B4D" w:rsidRPr="00F41082" w:rsidRDefault="00400B4D" w:rsidP="00FA423B">
      <w:r>
        <w:t xml:space="preserve">Le logiciel </w:t>
      </w:r>
      <w:bookmarkStart w:id="0" w:name="_GoBack"/>
      <w:bookmarkEnd w:id="0"/>
      <w:r>
        <w:t>laisse la possibilité au projeteur de la décocher et donc, de ne pas appliquer cette obligation, pour le cas, par exemple, ou il serait mis en œuvre un pieu bénéficiant d’un avis technique permettant d’outre passer cette obligation.</w:t>
      </w:r>
    </w:p>
    <w:p w:rsidR="00D7782D" w:rsidRDefault="00D7782D" w:rsidP="00E341E3">
      <w:pPr>
        <w:spacing w:line="240" w:lineRule="auto"/>
      </w:pPr>
      <w:r w:rsidRPr="00D7782D">
        <w:rPr>
          <w:u w:val="single"/>
        </w:rPr>
        <w:t>Dernière mise à jour :</w:t>
      </w:r>
      <w:r w:rsidR="00B14982">
        <w:t xml:space="preserve"> </w:t>
      </w:r>
      <w:r w:rsidR="00BA2BBB">
        <w:t xml:space="preserve"> </w:t>
      </w:r>
      <w:r w:rsidR="00AA0DED">
        <w:t xml:space="preserve"> </w:t>
      </w:r>
      <w:r w:rsidR="00FA423B">
        <w:t>15 aout</w:t>
      </w:r>
      <w:r w:rsidR="00C163E6">
        <w:t xml:space="preserve"> </w:t>
      </w:r>
      <w:r w:rsidR="00BD179B">
        <w:t>202</w:t>
      </w:r>
      <w:r w:rsidR="00C163E6">
        <w:t>5</w:t>
      </w:r>
    </w:p>
    <w:p w:rsidR="00D7782D" w:rsidRPr="00D7782D" w:rsidRDefault="00D7782D" w:rsidP="00E341E3">
      <w:pPr>
        <w:spacing w:line="240" w:lineRule="auto"/>
        <w:rPr>
          <w:u w:val="single"/>
        </w:rPr>
      </w:pPr>
      <w:r w:rsidRPr="00D7782D">
        <w:rPr>
          <w:u w:val="single"/>
        </w:rPr>
        <w:t>Bibliographie :</w:t>
      </w:r>
    </w:p>
    <w:p w:rsidR="00C163E6" w:rsidRDefault="00C163E6" w:rsidP="00C163E6">
      <w:pPr>
        <w:pStyle w:val="Paragraphedeliste"/>
        <w:numPr>
          <w:ilvl w:val="0"/>
          <w:numId w:val="1"/>
        </w:numPr>
        <w:spacing w:line="240" w:lineRule="auto"/>
      </w:pPr>
      <w:r>
        <w:t>NF EN 1997-1 juin 2005</w:t>
      </w:r>
      <w:r w:rsidRPr="00C163E6">
        <w:t xml:space="preserve"> et son Annexe Nationale Française de septembre 2006</w:t>
      </w:r>
    </w:p>
    <w:p w:rsidR="009B79DA" w:rsidRDefault="00C163E6" w:rsidP="00C163E6">
      <w:pPr>
        <w:pStyle w:val="Paragraphedeliste"/>
        <w:numPr>
          <w:ilvl w:val="0"/>
          <w:numId w:val="1"/>
        </w:numPr>
        <w:spacing w:line="240" w:lineRule="auto"/>
      </w:pPr>
      <w:r>
        <w:t>NF P94.262</w:t>
      </w:r>
      <w:r w:rsidRPr="00C163E6">
        <w:t xml:space="preserve"> juillet 2013 avec son amendement A1</w:t>
      </w:r>
    </w:p>
    <w:sectPr w:rsidR="009B79DA"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FE2182E"/>
    <w:lvl w:ilvl="0">
      <w:numFmt w:val="bullet"/>
      <w:lvlText w:val="*"/>
      <w:lvlJc w:val="left"/>
    </w:lvl>
  </w:abstractNum>
  <w:abstractNum w:abstractNumId="1" w15:restartNumberingAfterBreak="0">
    <w:nsid w:val="0D88426A"/>
    <w:multiLevelType w:val="hybridMultilevel"/>
    <w:tmpl w:val="2D6AA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F76FE7"/>
    <w:multiLevelType w:val="hybridMultilevel"/>
    <w:tmpl w:val="5E7290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7553190"/>
    <w:multiLevelType w:val="hybridMultilevel"/>
    <w:tmpl w:val="3CC836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5463BF"/>
    <w:multiLevelType w:val="hybridMultilevel"/>
    <w:tmpl w:val="CC765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4401CA"/>
    <w:multiLevelType w:val="hybridMultilevel"/>
    <w:tmpl w:val="836AE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2974F3"/>
    <w:multiLevelType w:val="hybridMultilevel"/>
    <w:tmpl w:val="DA602D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5B4A08"/>
    <w:multiLevelType w:val="hybridMultilevel"/>
    <w:tmpl w:val="26A4D4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AB4B10"/>
    <w:multiLevelType w:val="hybridMultilevel"/>
    <w:tmpl w:val="BB3EE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3A4AFC"/>
    <w:multiLevelType w:val="hybridMultilevel"/>
    <w:tmpl w:val="D146F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D3C4492"/>
    <w:multiLevelType w:val="hybridMultilevel"/>
    <w:tmpl w:val="97C83A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0"/>
    <w:lvlOverride w:ilvl="0">
      <w:lvl w:ilvl="0">
        <w:numFmt w:val="bullet"/>
        <w:lvlText w:val=""/>
        <w:legacy w:legacy="1" w:legacySpace="50" w:legacyIndent="0"/>
        <w:lvlJc w:val="left"/>
        <w:pPr>
          <w:ind w:left="300" w:firstLine="0"/>
        </w:pPr>
        <w:rPr>
          <w:rFonts w:ascii="Symbol" w:hAnsi="Symbol" w:hint="default"/>
        </w:rPr>
      </w:lvl>
    </w:lvlOverride>
  </w:num>
  <w:num w:numId="4">
    <w:abstractNumId w:val="5"/>
  </w:num>
  <w:num w:numId="5">
    <w:abstractNumId w:val="1"/>
  </w:num>
  <w:num w:numId="6">
    <w:abstractNumId w:val="4"/>
  </w:num>
  <w:num w:numId="7">
    <w:abstractNumId w:val="9"/>
  </w:num>
  <w:num w:numId="8">
    <w:abstractNumId w:val="10"/>
  </w:num>
  <w:num w:numId="9">
    <w:abstractNumId w:val="3"/>
  </w:num>
  <w:num w:numId="10">
    <w:abstractNumId w:val="7"/>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1E3"/>
    <w:rsid w:val="00025571"/>
    <w:rsid w:val="00092135"/>
    <w:rsid w:val="00093CF0"/>
    <w:rsid w:val="000F205A"/>
    <w:rsid w:val="00113421"/>
    <w:rsid w:val="0016643A"/>
    <w:rsid w:val="0020662B"/>
    <w:rsid w:val="00285019"/>
    <w:rsid w:val="00296481"/>
    <w:rsid w:val="002A3FC4"/>
    <w:rsid w:val="002F0BE2"/>
    <w:rsid w:val="00400B4D"/>
    <w:rsid w:val="005019B6"/>
    <w:rsid w:val="00514F5E"/>
    <w:rsid w:val="005621A4"/>
    <w:rsid w:val="005A4BAF"/>
    <w:rsid w:val="00606B1F"/>
    <w:rsid w:val="0062461C"/>
    <w:rsid w:val="00684433"/>
    <w:rsid w:val="006E2FC9"/>
    <w:rsid w:val="0070207B"/>
    <w:rsid w:val="00723814"/>
    <w:rsid w:val="00740B0C"/>
    <w:rsid w:val="00773FFF"/>
    <w:rsid w:val="00780844"/>
    <w:rsid w:val="007E4335"/>
    <w:rsid w:val="00887AE2"/>
    <w:rsid w:val="008E3454"/>
    <w:rsid w:val="008F6CB7"/>
    <w:rsid w:val="00902D2C"/>
    <w:rsid w:val="009306D1"/>
    <w:rsid w:val="00946577"/>
    <w:rsid w:val="0096305B"/>
    <w:rsid w:val="009B79DA"/>
    <w:rsid w:val="00AA0DED"/>
    <w:rsid w:val="00AC4C8B"/>
    <w:rsid w:val="00B14982"/>
    <w:rsid w:val="00BA2BBB"/>
    <w:rsid w:val="00BB2E99"/>
    <w:rsid w:val="00BD179B"/>
    <w:rsid w:val="00BE392A"/>
    <w:rsid w:val="00C007D4"/>
    <w:rsid w:val="00C163E6"/>
    <w:rsid w:val="00C91564"/>
    <w:rsid w:val="00CB2066"/>
    <w:rsid w:val="00CF7A2F"/>
    <w:rsid w:val="00D447BA"/>
    <w:rsid w:val="00D7782D"/>
    <w:rsid w:val="00D8287A"/>
    <w:rsid w:val="00E32643"/>
    <w:rsid w:val="00E341E3"/>
    <w:rsid w:val="00E6104E"/>
    <w:rsid w:val="00E90F9F"/>
    <w:rsid w:val="00ED1818"/>
    <w:rsid w:val="00EE2A24"/>
    <w:rsid w:val="00EF1D5B"/>
    <w:rsid w:val="00FA423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0D05A"/>
  <w15:docId w15:val="{5A9ED1EB-C8A6-41D4-97E4-7B8CBE6A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paragraph" w:styleId="Lgende">
    <w:name w:val="caption"/>
    <w:basedOn w:val="Normal"/>
    <w:next w:val="Normal"/>
    <w:uiPriority w:val="35"/>
    <w:unhideWhenUsed/>
    <w:qFormat/>
    <w:rsid w:val="00780844"/>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141</Words>
  <Characters>778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p_dejean@orange.fr</cp:lastModifiedBy>
  <cp:revision>17</cp:revision>
  <dcterms:created xsi:type="dcterms:W3CDTF">2020-01-02T08:36:00Z</dcterms:created>
  <dcterms:modified xsi:type="dcterms:W3CDTF">2025-08-21T07:22:00Z</dcterms:modified>
</cp:coreProperties>
</file>